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color w:val="1f1f1f"/>
          <w:sz w:val="30"/>
          <w:szCs w:val="30"/>
          <w:highlight w:val="white"/>
          <w:rtl w:val="0"/>
        </w:rPr>
        <w:t xml:space="preserve">Bayernkapelle mit Herz </w:t>
      </w:r>
      <w:r w:rsidDel="00000000" w:rsidR="00000000" w:rsidRPr="00000000">
        <w:rPr>
          <w:color w:val="040c28"/>
          <w:sz w:val="30"/>
          <w:szCs w:val="30"/>
          <w:highlight w:val="white"/>
          <w:rtl w:val="0"/>
        </w:rPr>
        <w:t xml:space="preserve">Mitten in Oberbayern liegt, mit Blick auf das Kloster Andechs oder auf die Zugspitze, der direkt am Pilsensee gelegene Ort Hechendorf</w:t>
      </w:r>
      <w:r w:rsidDel="00000000" w:rsidR="00000000" w:rsidRPr="00000000">
        <w:rPr>
          <w:color w:val="1f1f1f"/>
          <w:sz w:val="30"/>
          <w:szCs w:val="30"/>
          <w:highlight w:val="white"/>
          <w:rtl w:val="0"/>
        </w:rPr>
        <w:t xml:space="preserve">. Zwischen dem Schloß Seefeld und Hechendorf erstreckt sich auch das schöne Aubachtal.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